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16" w:lineRule="exact"/>
        <w:rPr>
          <w:color w:val="auto"/>
          <w:sz w:val="24"/>
          <w:szCs w:val="24"/>
        </w:rPr>
      </w:pPr>
    </w:p>
    <w:p>
      <w:pPr>
        <w:spacing w:after="0" w:line="548" w:lineRule="exact"/>
        <w:ind w:right="-13"/>
        <w:jc w:val="center"/>
        <w:rPr>
          <w:rFonts w:ascii="宋体" w:hAnsi="宋体" w:eastAsia="宋体" w:cs="宋体"/>
          <w:b/>
          <w:bCs/>
          <w:color w:val="auto"/>
          <w:sz w:val="48"/>
          <w:szCs w:val="48"/>
        </w:rPr>
      </w:pPr>
    </w:p>
    <w:p>
      <w:pPr>
        <w:spacing w:after="0" w:line="548" w:lineRule="exact"/>
        <w:ind w:right="-13"/>
        <w:jc w:val="center"/>
        <w:rPr>
          <w:rFonts w:ascii="宋体" w:hAnsi="宋体" w:eastAsia="宋体" w:cs="宋体"/>
          <w:b/>
          <w:bCs/>
          <w:color w:val="auto"/>
          <w:sz w:val="48"/>
          <w:szCs w:val="48"/>
        </w:rPr>
      </w:pPr>
    </w:p>
    <w:p>
      <w:pPr>
        <w:spacing w:after="0" w:line="548" w:lineRule="exact"/>
        <w:ind w:right="-13"/>
        <w:jc w:val="center"/>
        <w:rPr>
          <w:rFonts w:ascii="宋体" w:hAnsi="宋体" w:eastAsia="宋体" w:cs="宋体"/>
          <w:b/>
          <w:bCs/>
          <w:color w:val="auto"/>
          <w:sz w:val="48"/>
          <w:szCs w:val="48"/>
        </w:rPr>
      </w:pPr>
    </w:p>
    <w:p>
      <w:pPr>
        <w:spacing w:after="0" w:line="548" w:lineRule="exact"/>
        <w:ind w:right="-13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48"/>
          <w:szCs w:val="48"/>
        </w:rPr>
        <w:t>申请人用户使用手册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75" w:lineRule="exact"/>
        <w:rPr>
          <w:color w:val="auto"/>
          <w:sz w:val="24"/>
          <w:szCs w:val="24"/>
        </w:rPr>
      </w:pPr>
    </w:p>
    <w:p>
      <w:pPr>
        <w:spacing w:after="0" w:line="354" w:lineRule="exact"/>
        <w:ind w:left="1500"/>
        <w:rPr>
          <w:color w:val="auto"/>
          <w:sz w:val="20"/>
          <w:szCs w:val="20"/>
        </w:rPr>
      </w:pPr>
      <w:r>
        <w:rPr>
          <w:rFonts w:ascii="仿宋" w:hAnsi="仿宋" w:eastAsia="仿宋" w:cs="仿宋"/>
          <w:color w:val="auto"/>
          <w:sz w:val="31"/>
          <w:szCs w:val="31"/>
        </w:rPr>
        <w:t>建设单位：</w:t>
      </w:r>
      <w:r>
        <w:rPr>
          <w:rFonts w:hint="eastAsia" w:ascii="仿宋" w:hAnsi="仿宋" w:eastAsia="仿宋" w:cs="仿宋"/>
          <w:color w:val="auto"/>
          <w:sz w:val="31"/>
          <w:szCs w:val="31"/>
        </w:rPr>
        <w:t>广东省宣传事务中心</w:t>
      </w:r>
    </w:p>
    <w:p>
      <w:pPr>
        <w:spacing w:after="0" w:line="270" w:lineRule="exact"/>
        <w:rPr>
          <w:color w:val="auto"/>
          <w:sz w:val="24"/>
          <w:szCs w:val="24"/>
        </w:rPr>
      </w:pPr>
    </w:p>
    <w:p>
      <w:pPr>
        <w:spacing w:after="0" w:line="354" w:lineRule="exact"/>
        <w:ind w:left="1500"/>
        <w:rPr>
          <w:color w:val="auto"/>
          <w:sz w:val="20"/>
          <w:szCs w:val="20"/>
        </w:rPr>
      </w:pPr>
      <w:r>
        <w:rPr>
          <w:rFonts w:ascii="仿宋" w:hAnsi="仿宋" w:eastAsia="仿宋" w:cs="仿宋"/>
          <w:color w:val="auto"/>
          <w:sz w:val="31"/>
          <w:szCs w:val="31"/>
        </w:rPr>
        <w:t>编制单位：南京宜开数据分析技术有限公司</w:t>
      </w:r>
    </w:p>
    <w:p>
      <w:pPr>
        <w:spacing w:after="0" w:line="259" w:lineRule="exact"/>
        <w:rPr>
          <w:color w:val="auto"/>
          <w:sz w:val="24"/>
          <w:szCs w:val="24"/>
        </w:rPr>
      </w:pPr>
    </w:p>
    <w:p>
      <w:pPr>
        <w:spacing w:after="0" w:line="366" w:lineRule="exact"/>
        <w:ind w:left="1500"/>
        <w:sectPr>
          <w:pgSz w:w="11900" w:h="16838"/>
          <w:pgMar w:top="1440" w:right="1440" w:bottom="649" w:left="1440" w:header="0" w:footer="0" w:gutter="0"/>
          <w:cols w:equalWidth="0" w:num="1">
            <w:col w:w="9026"/>
          </w:cols>
        </w:sectPr>
      </w:pPr>
      <w:r>
        <w:rPr>
          <w:rFonts w:ascii="仿宋" w:hAnsi="仿宋" w:eastAsia="仿宋" w:cs="仿宋"/>
          <w:color w:val="auto"/>
          <w:sz w:val="32"/>
          <w:szCs w:val="32"/>
        </w:rPr>
        <w:t>编制日期： 20</w:t>
      </w:r>
      <w:r>
        <w:rPr>
          <w:rFonts w:hint="default" w:ascii="仿宋" w:hAnsi="仿宋" w:eastAsia="仿宋" w:cs="仿宋"/>
          <w:color w:val="auto"/>
          <w:sz w:val="32"/>
          <w:szCs w:val="32"/>
          <w:lang w:val="en-GB"/>
        </w:rPr>
        <w:t>20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年 </w:t>
      </w:r>
      <w:r>
        <w:rPr>
          <w:rFonts w:hint="default" w:ascii="仿宋" w:hAnsi="仿宋" w:eastAsia="仿宋" w:cs="仿宋"/>
          <w:color w:val="auto"/>
          <w:sz w:val="32"/>
          <w:szCs w:val="32"/>
          <w:lang w:val="en-GB"/>
        </w:rPr>
        <w:t>5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月 </w:t>
      </w:r>
      <w:r>
        <w:rPr>
          <w:rFonts w:hint="default" w:ascii="仿宋" w:hAnsi="仿宋" w:eastAsia="仿宋" w:cs="仿宋"/>
          <w:color w:val="auto"/>
          <w:sz w:val="32"/>
          <w:szCs w:val="32"/>
          <w:lang w:val="en-GB"/>
        </w:rPr>
        <w:t>1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日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sdt>
      <w:sdtPr>
        <w:rPr>
          <w:lang w:val="en-US" w:eastAsia="zh-CN"/>
        </w:rPr>
        <w:id w:val="147461790"/>
        <w15:color w:val="DBDBDB"/>
        <w:docPartObj>
          <w:docPartGallery w:val="Table of Contents"/>
          <w:docPartUnique/>
        </w:docPartObj>
      </w:sdtPr>
      <w:sdtEndPr>
        <w:rPr>
          <w:lang w:val="en-US" w:eastAsia="zh-CN"/>
        </w:rPr>
      </w:sdtEndPr>
      <w:sdtContent>
        <w:p>
          <w:pPr>
            <w:pStyle w:val="2"/>
            <w:bidi w:val="0"/>
          </w:pPr>
          <w:bookmarkStart w:id="0" w:name="_Toc13253"/>
          <w:bookmarkStart w:id="1" w:name="_Toc22472"/>
          <w:r>
            <w:t>目</w:t>
          </w:r>
          <w:r>
            <w:rPr>
              <w:rFonts w:hint="eastAsia"/>
              <w:lang w:val="en-US" w:eastAsia="zh-CN"/>
            </w:rPr>
            <w:t xml:space="preserve"> </w:t>
          </w:r>
          <w:r>
            <w:t>录</w:t>
          </w:r>
          <w:bookmarkEnd w:id="0"/>
          <w:bookmarkEnd w:id="1"/>
        </w:p>
        <w:p>
          <w:pPr>
            <w:pStyle w:val="6"/>
            <w:tabs>
              <w:tab w:val="right" w:leader="dot" w:pos="8306"/>
            </w:tabs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TOC \o "1-3" \h \u </w:instrText>
          </w:r>
          <w:r>
            <w:rPr>
              <w:b/>
            </w:rPr>
            <w:fldChar w:fldCharType="separate"/>
          </w:r>
          <w:r>
            <w:fldChar w:fldCharType="begin"/>
          </w:r>
          <w:r>
            <w:instrText xml:space="preserve"> HYPERLINK \l _Toc19051 </w:instrText>
          </w:r>
          <w:r>
            <w:fldChar w:fldCharType="separate"/>
          </w:r>
          <w:r>
            <w:rPr>
              <w:rFonts w:hint="eastAsia"/>
              <w:bCs w:val="0"/>
              <w:szCs w:val="32"/>
              <w:lang w:val="en-US" w:eastAsia="zh-CN"/>
            </w:rPr>
            <w:t>用户端指引</w:t>
          </w:r>
          <w:r>
            <w:tab/>
          </w:r>
          <w:r>
            <w:fldChar w:fldCharType="begin"/>
          </w:r>
          <w:r>
            <w:instrText xml:space="preserve"> PAGEREF _Toc19051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_Toc6186 </w:instrText>
          </w:r>
          <w:r>
            <w:fldChar w:fldCharType="separate"/>
          </w:r>
          <w:r>
            <w:rPr>
              <w:lang w:val="en-US" w:eastAsia="zh-CN"/>
            </w:rPr>
            <w:t>1</w:t>
          </w:r>
          <w:r>
            <w:rPr>
              <w:rFonts w:hint="default"/>
              <w:lang w:val="en-GB" w:eastAsia="zh-CN"/>
            </w:rPr>
            <w:t>.</w:t>
          </w:r>
          <w:r>
            <w:rPr>
              <w:lang w:val="en-US" w:eastAsia="zh-CN"/>
            </w:rPr>
            <w:t>用户帐号注册</w:t>
          </w:r>
          <w:r>
            <w:tab/>
          </w:r>
          <w:r>
            <w:fldChar w:fldCharType="begin"/>
          </w:r>
          <w:r>
            <w:instrText xml:space="preserve"> PAGEREF _Toc6186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_Toc32205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 出版外国图书合同登记</w:t>
          </w:r>
          <w:r>
            <w:tab/>
          </w:r>
          <w:r>
            <w:fldChar w:fldCharType="begin"/>
          </w:r>
          <w:r>
            <w:instrText xml:space="preserve"> PAGEREF _Toc32205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_Toc5237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3.登记查询</w:t>
          </w:r>
          <w:r>
            <w:tab/>
          </w:r>
          <w:r>
            <w:fldChar w:fldCharType="begin"/>
          </w:r>
          <w:r>
            <w:instrText xml:space="preserve"> PAGEREF _Toc5237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_Toc7477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4.补正</w:t>
          </w:r>
          <w:r>
            <w:tab/>
          </w:r>
          <w:r>
            <w:fldChar w:fldCharType="begin"/>
          </w:r>
          <w:r>
            <w:instrText xml:space="preserve"> PAGEREF _Toc7477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_Toc29305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 寄送合同原件</w:t>
          </w:r>
          <w:r>
            <w:tab/>
          </w:r>
          <w:r>
            <w:fldChar w:fldCharType="begin"/>
          </w:r>
          <w:r>
            <w:instrText xml:space="preserve"> PAGEREF _Toc29305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rPr>
              <w:b/>
            </w:rPr>
          </w:pPr>
          <w:r>
            <w:fldChar w:fldCharType="end"/>
          </w:r>
        </w:p>
      </w:sdtContent>
    </w:sdt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pStyle w:val="2"/>
        <w:bidi w:val="0"/>
        <w:jc w:val="both"/>
        <w:outlineLvl w:val="9"/>
        <w:rPr>
          <w:rFonts w:hint="eastAsia"/>
          <w:b/>
          <w:bCs w:val="0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bidi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bookmarkStart w:id="2" w:name="_Toc19051"/>
      <w:r>
        <w:rPr>
          <w:rFonts w:hint="eastAsia"/>
          <w:b/>
          <w:bCs w:val="0"/>
          <w:sz w:val="32"/>
          <w:szCs w:val="32"/>
          <w:lang w:val="en-US" w:eastAsia="zh-CN"/>
        </w:rPr>
        <w:t>用户端指引</w:t>
      </w:r>
      <w:bookmarkEnd w:id="2"/>
    </w:p>
    <w:p>
      <w:pPr>
        <w:pStyle w:val="3"/>
        <w:bidi w:val="0"/>
        <w:outlineLvl w:val="0"/>
      </w:pPr>
      <w:bookmarkStart w:id="3" w:name="_Toc6186"/>
      <w:r>
        <w:rPr>
          <w:lang w:val="en-US" w:eastAsia="zh-CN"/>
        </w:rPr>
        <w:t>1</w:t>
      </w:r>
      <w:r>
        <w:rPr>
          <w:rFonts w:hint="default"/>
          <w:lang w:val="en-GB" w:eastAsia="zh-CN"/>
        </w:rPr>
        <w:t>.</w:t>
      </w:r>
      <w:r>
        <w:rPr>
          <w:lang w:val="en-US" w:eastAsia="zh-CN"/>
        </w:rPr>
        <w:t>用户帐号注册</w:t>
      </w:r>
      <w:bookmarkEnd w:id="3"/>
      <w:r>
        <w:rPr>
          <w:lang w:val="en-US" w:eastAsia="zh-CN"/>
        </w:rPr>
        <w:t xml:space="preserve"> </w:t>
      </w:r>
    </w:p>
    <w:p>
      <w:pPr>
        <w:bidi w:val="0"/>
        <w:ind w:firstLine="420" w:firstLineChars="0"/>
      </w:pPr>
      <w:r>
        <w:rPr>
          <w:lang w:val="en-US" w:eastAsia="zh-CN"/>
        </w:rPr>
        <w:t xml:space="preserve">为了获得良好的用户体检，建议申请人用户使用现代主流浏览器 </w:t>
      </w:r>
    </w:p>
    <w:p>
      <w:pPr>
        <w:bidi w:val="0"/>
      </w:pPr>
      <w:r>
        <w:rPr>
          <w:rFonts w:hint="eastAsia"/>
          <w:lang w:val="en-US" w:eastAsia="zh-CN"/>
        </w:rPr>
        <w:t xml:space="preserve">访问本系统，浏览器版本包括：谷歌 Chrome、火狐、360 浏览器 极速模式等，查看电子证时建议采用 360 浏览器 兼容模式或 IE8-11 版本的浏览器。 </w:t>
      </w:r>
    </w:p>
    <w:p>
      <w:pPr>
        <w:bidi w:val="0"/>
        <w:ind w:firstLine="420" w:firstLineChars="0"/>
      </w:pPr>
      <w:r>
        <w:rPr>
          <w:rFonts w:hint="eastAsia"/>
          <w:lang w:val="en-US" w:eastAsia="zh-CN"/>
        </w:rPr>
        <w:t xml:space="preserve">广东版权网的版权登记系统入口处改用新的页面，引导用户进入 </w:t>
      </w:r>
    </w:p>
    <w:p>
      <w:pPr>
        <w:bidi w:val="0"/>
      </w:pPr>
      <w:r>
        <w:rPr>
          <w:rFonts w:hint="eastAsia"/>
          <w:lang w:val="en-US" w:eastAsia="zh-CN"/>
        </w:rPr>
        <w:t>系统登陆页面，入口位置如下图所示：</w:t>
      </w:r>
    </w:p>
    <w:p>
      <w:pPr>
        <w:numPr>
          <w:ilvl w:val="0"/>
          <w:numId w:val="0"/>
        </w:numPr>
        <w:ind w:left="420" w:leftChars="0" w:firstLine="420" w:firstLineChars="0"/>
        <w:jc w:val="both"/>
        <w:rPr>
          <w:rFonts w:hint="default"/>
          <w:lang w:val="en-GB"/>
        </w:rPr>
      </w:pPr>
      <w:r>
        <w:drawing>
          <wp:inline distT="0" distB="0" distL="114300" distR="114300">
            <wp:extent cx="4410075" cy="2477770"/>
            <wp:effectExtent l="0" t="0" r="9525" b="17780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GB"/>
        </w:rPr>
        <w:tab/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jc w:val="both"/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GB" w:eastAsia="zh-CN"/>
        </w:rPr>
        <w:tab/>
      </w:r>
      <w:r>
        <w:drawing>
          <wp:inline distT="0" distB="0" distL="114300" distR="114300">
            <wp:extent cx="4124325" cy="2319655"/>
            <wp:effectExtent l="0" t="0" r="9525" b="444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注册时在办理事项里勾选涉外图书合同登记并上传涉外确认书。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如果选择涉外图书合同登记，那么代办机构就会默认为广东省宣传事务中心。</w:t>
      </w:r>
    </w:p>
    <w:p>
      <w:pPr>
        <w:numPr>
          <w:ilvl w:val="0"/>
          <w:numId w:val="0"/>
        </w:numPr>
        <w:ind w:left="840" w:leftChars="0" w:firstLine="420" w:firstLineChars="0"/>
        <w:jc w:val="both"/>
      </w:pPr>
      <w:r>
        <w:drawing>
          <wp:inline distT="0" distB="0" distL="114300" distR="114300">
            <wp:extent cx="3836670" cy="1932940"/>
            <wp:effectExtent l="0" t="0" r="11430" b="10160"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3667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840" w:leftChars="0" w:firstLine="420" w:firstLineChars="0"/>
        <w:jc w:val="both"/>
      </w:pPr>
      <w:r>
        <w:drawing>
          <wp:inline distT="0" distB="0" distL="114300" distR="114300">
            <wp:extent cx="3865245" cy="1775460"/>
            <wp:effectExtent l="0" t="0" r="1905" b="1524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6524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0"/>
        <w:jc w:val="both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涉外确认书具体内容可以点击右侧下载涉外确认书下载查看。</w:t>
      </w:r>
    </w:p>
    <w:p>
      <w:pPr>
        <w:numPr>
          <w:ilvl w:val="0"/>
          <w:numId w:val="0"/>
        </w:numPr>
        <w:ind w:left="840" w:leftChars="0" w:firstLine="420" w:firstLineChars="0"/>
        <w:jc w:val="both"/>
      </w:pPr>
      <w:r>
        <w:drawing>
          <wp:inline distT="0" distB="0" distL="114300" distR="114300">
            <wp:extent cx="3235325" cy="873760"/>
            <wp:effectExtent l="0" t="0" r="3175" b="254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532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填写在旧系统上使用的所有的用户名（涉及旧数据的查询）多个请用,(英文逗号)分隔</w:t>
      </w:r>
    </w:p>
    <w:p>
      <w:pPr>
        <w:numPr>
          <w:ilvl w:val="0"/>
          <w:numId w:val="0"/>
        </w:numPr>
        <w:ind w:left="420" w:leftChars="0" w:firstLine="420" w:firstLine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161155" cy="733425"/>
            <wp:effectExtent l="0" t="0" r="10795" b="9525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611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" w:name="_GoBack"/>
      <w:bookmarkEnd w:id="8"/>
    </w:p>
    <w:p>
      <w:pPr>
        <w:pStyle w:val="3"/>
        <w:numPr>
          <w:ilvl w:val="0"/>
          <w:numId w:val="1"/>
        </w:numPr>
        <w:bidi w:val="0"/>
        <w:outlineLvl w:val="0"/>
        <w:rPr>
          <w:rFonts w:hint="eastAsia"/>
          <w:lang w:val="en-US" w:eastAsia="zh-CN"/>
        </w:rPr>
      </w:pPr>
      <w:bookmarkStart w:id="4" w:name="_Toc32205"/>
      <w:r>
        <w:rPr>
          <w:rFonts w:hint="eastAsia"/>
          <w:lang w:val="en-US" w:eastAsia="zh-CN"/>
        </w:rPr>
        <w:t>出版外国图书合同登记</w:t>
      </w:r>
      <w:bookmarkEnd w:id="4"/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登录系统后先点击右上角的在线涉外合同登记，再点击左侧的出版外国图书登记。</w:t>
      </w:r>
    </w:p>
    <w:p>
      <w:pPr>
        <w:numPr>
          <w:ilvl w:val="0"/>
          <w:numId w:val="0"/>
        </w:numPr>
        <w:ind w:left="420" w:leftChars="0" w:firstLine="420" w:firstLineChars="0"/>
        <w:jc w:val="both"/>
      </w:pPr>
      <w:r>
        <w:drawing>
          <wp:inline distT="0" distB="0" distL="114300" distR="114300">
            <wp:extent cx="4035425" cy="1757680"/>
            <wp:effectExtent l="0" t="0" r="317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3542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420" w:firstLineChars="0"/>
        <w:jc w:val="both"/>
      </w:pPr>
      <w:r>
        <w:rPr>
          <w:rFonts w:hint="eastAsia"/>
          <w:lang w:val="en-US" w:eastAsia="zh-CN"/>
        </w:rPr>
        <w:t>进入页面后点击增加出版外国（境外）图书合同登记。</w:t>
      </w:r>
      <w:r>
        <w:rPr>
          <w:rFonts w:hint="default"/>
          <w:lang w:val="en-GB" w:eastAsia="zh-CN"/>
        </w:rPr>
        <w:tab/>
      </w:r>
      <w:r>
        <w:rPr>
          <w:rFonts w:hint="default"/>
          <w:lang w:val="en-GB" w:eastAsia="zh-CN"/>
        </w:rPr>
        <w:tab/>
      </w:r>
      <w:r>
        <w:rPr>
          <w:rFonts w:hint="default"/>
          <w:lang w:val="en-GB" w:eastAsia="zh-CN"/>
        </w:rPr>
        <w:tab/>
      </w:r>
      <w:r>
        <w:rPr>
          <w:rFonts w:hint="default"/>
          <w:lang w:val="en-GB" w:eastAsia="zh-CN"/>
        </w:rPr>
        <w:tab/>
      </w:r>
      <w:r>
        <w:rPr>
          <w:rFonts w:hint="default"/>
          <w:lang w:val="en-GB" w:eastAsia="zh-CN"/>
        </w:rPr>
        <w:tab/>
      </w:r>
      <w:r>
        <w:drawing>
          <wp:inline distT="0" distB="0" distL="114300" distR="114300">
            <wp:extent cx="3970655" cy="2413635"/>
            <wp:effectExtent l="0" t="0" r="1079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7065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0"/>
        <w:jc w:val="both"/>
      </w:pPr>
      <w:r>
        <w:rPr>
          <w:rFonts w:hint="eastAsia"/>
          <w:lang w:val="en-US" w:eastAsia="zh-CN"/>
        </w:rPr>
        <w:t>输入全部信息后点击确认提交。</w:t>
      </w:r>
    </w:p>
    <w:p>
      <w:pPr>
        <w:numPr>
          <w:ilvl w:val="0"/>
          <w:numId w:val="0"/>
        </w:numPr>
        <w:ind w:left="840" w:leftChars="0" w:firstLine="420" w:firstLineChars="0"/>
        <w:jc w:val="both"/>
      </w:pPr>
      <w:r>
        <w:drawing>
          <wp:inline distT="0" distB="0" distL="114300" distR="114300">
            <wp:extent cx="3635375" cy="2183765"/>
            <wp:effectExtent l="0" t="0" r="317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35375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提交后可以修改或删除</w:t>
      </w:r>
    </w:p>
    <w:p>
      <w:pPr>
        <w:numPr>
          <w:ilvl w:val="0"/>
          <w:numId w:val="0"/>
        </w:numPr>
        <w:ind w:left="1260" w:leftChars="0" w:firstLine="420" w:firstLineChars="0"/>
        <w:jc w:val="both"/>
      </w:pPr>
      <w:r>
        <w:drawing>
          <wp:inline distT="0" distB="0" distL="114300" distR="114300">
            <wp:extent cx="3439160" cy="1985645"/>
            <wp:effectExtent l="0" t="0" r="8890" b="146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39160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上传4个文件后点击提交后登记就完成了。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840" w:leftChars="0" w:firstLine="420" w:firstLineChars="0"/>
        <w:jc w:val="both"/>
      </w:pPr>
      <w:r>
        <w:drawing>
          <wp:inline distT="0" distB="0" distL="114300" distR="114300">
            <wp:extent cx="3593465" cy="2171700"/>
            <wp:effectExtent l="0" t="0" r="698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9346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pStyle w:val="3"/>
        <w:numPr>
          <w:ilvl w:val="0"/>
          <w:numId w:val="0"/>
        </w:numPr>
        <w:bidi w:val="0"/>
        <w:outlineLvl w:val="0"/>
        <w:rPr>
          <w:rFonts w:hint="eastAsia"/>
          <w:lang w:val="en-US" w:eastAsia="zh-CN"/>
        </w:rPr>
      </w:pPr>
      <w:bookmarkStart w:id="5" w:name="_Toc5237"/>
      <w:r>
        <w:rPr>
          <w:rFonts w:hint="eastAsia"/>
          <w:lang w:val="en-US" w:eastAsia="zh-CN"/>
        </w:rPr>
        <w:t>3.登记查询</w:t>
      </w:r>
      <w:bookmarkEnd w:id="5"/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点击我的登记，并选择登记类型为出版外国图书即可查看出版外国图书登记信息，在表格中可以查看到申请状态</w:t>
      </w:r>
    </w:p>
    <w:p>
      <w:pPr>
        <w:numPr>
          <w:ilvl w:val="0"/>
          <w:numId w:val="0"/>
        </w:numPr>
        <w:ind w:left="840" w:leftChars="0" w:firstLine="420" w:firstLine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3566795" cy="1623060"/>
            <wp:effectExtent l="0" t="0" r="14605" b="1524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6679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840" w:leftChars="0" w:firstLine="420" w:firstLineChars="0"/>
        <w:jc w:val="both"/>
      </w:pPr>
      <w:r>
        <w:drawing>
          <wp:inline distT="0" distB="0" distL="114300" distR="114300">
            <wp:extent cx="3625215" cy="1348105"/>
            <wp:effectExtent l="0" t="0" r="13335" b="444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 w:firstLine="420" w:firstLineChars="0"/>
        <w:jc w:val="both"/>
      </w:pPr>
      <w:r>
        <w:drawing>
          <wp:inline distT="0" distB="0" distL="114300" distR="114300">
            <wp:extent cx="4126865" cy="290830"/>
            <wp:effectExtent l="0" t="0" r="6985" b="1397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2686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420" w:firstLineChars="0"/>
        <w:jc w:val="both"/>
      </w:pPr>
      <w:r>
        <w:rPr>
          <w:rFonts w:hint="eastAsia"/>
          <w:lang w:val="en-US" w:eastAsia="zh-CN"/>
        </w:rPr>
        <w:t>选择已登记申请可以查看到已登记的出版外国图书登记，点击右侧登记表可以查看该登记的申请表，并选择打印或下载</w:t>
      </w:r>
    </w:p>
    <w:p>
      <w:pPr>
        <w:numPr>
          <w:ilvl w:val="0"/>
          <w:numId w:val="0"/>
        </w:numPr>
        <w:ind w:left="1260" w:leftChars="0" w:firstLine="420" w:firstLineChars="0"/>
        <w:jc w:val="both"/>
      </w:pPr>
      <w:r>
        <w:drawing>
          <wp:inline distT="0" distB="0" distL="114300" distR="114300">
            <wp:extent cx="2583180" cy="3525520"/>
            <wp:effectExtent l="0" t="0" r="762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352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0"/>
        </w:numPr>
        <w:bidi w:val="0"/>
        <w:outlineLvl w:val="0"/>
        <w:rPr>
          <w:rFonts w:hint="eastAsia"/>
          <w:lang w:val="en-US" w:eastAsia="zh-CN"/>
        </w:rPr>
      </w:pPr>
      <w:bookmarkStart w:id="6" w:name="_Toc7477"/>
      <w:r>
        <w:rPr>
          <w:rFonts w:hint="eastAsia"/>
          <w:lang w:val="en-US" w:eastAsia="zh-CN"/>
        </w:rPr>
        <w:t>4.补正</w:t>
      </w:r>
      <w:bookmarkEnd w:id="6"/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当登记被退回后，需要补正后再次提交。</w:t>
      </w: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点击待补正申请后，在登记类型中选择出版外国图书可查询到需要补正的材料，点击补正后进入补正页面。</w:t>
      </w:r>
    </w:p>
    <w:p>
      <w:pPr>
        <w:numPr>
          <w:ilvl w:val="0"/>
          <w:numId w:val="0"/>
        </w:numPr>
        <w:ind w:left="840" w:leftChars="0" w:firstLine="420" w:firstLineChars="0"/>
        <w:jc w:val="both"/>
      </w:pPr>
      <w:r>
        <w:drawing>
          <wp:inline distT="0" distB="0" distL="114300" distR="114300">
            <wp:extent cx="3206115" cy="1400175"/>
            <wp:effectExtent l="0" t="0" r="1333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0611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420" w:firstLineChars="0"/>
        <w:jc w:val="both"/>
      </w:pPr>
      <w:r>
        <w:rPr>
          <w:rFonts w:hint="eastAsia"/>
          <w:lang w:val="en-US" w:eastAsia="zh-CN"/>
        </w:rPr>
        <w:t>填写完全部信息后点击确认提交即补正成功。</w:t>
      </w:r>
    </w:p>
    <w:p>
      <w:pPr>
        <w:numPr>
          <w:ilvl w:val="0"/>
          <w:numId w:val="0"/>
        </w:numPr>
        <w:ind w:left="420" w:leftChars="0" w:firstLine="420" w:firstLineChars="0"/>
        <w:jc w:val="both"/>
      </w:pPr>
      <w:r>
        <w:drawing>
          <wp:inline distT="0" distB="0" distL="114300" distR="114300">
            <wp:extent cx="3849370" cy="1910080"/>
            <wp:effectExtent l="0" t="0" r="17780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4937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bookmarkStart w:id="7" w:name="_Toc29305"/>
      <w:r>
        <w:rPr>
          <w:rFonts w:hint="eastAsia"/>
          <w:lang w:val="en-US" w:eastAsia="zh-CN"/>
        </w:rPr>
        <w:t>寄送合同原件</w:t>
      </w:r>
      <w:bookmarkEnd w:id="7"/>
    </w:p>
    <w:p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当登记机构受理完后，会向用户邮箱发送一封受理通知书，根据受理通知书上的要求，用户需要打印合同登记表，并将其与合同原件一起寄到登记机构。</w:t>
      </w:r>
    </w:p>
    <w:p>
      <w:pPr>
        <w:numPr>
          <w:ilvl w:val="0"/>
          <w:numId w:val="0"/>
        </w:numPr>
        <w:ind w:left="1260" w:leftChars="0" w:firstLine="42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3303270" cy="3194050"/>
            <wp:effectExtent l="0" t="0" r="11430" b="6350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0327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eastAsia="仿宋"/>
          <w:lang w:val="en-US" w:eastAsia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仿宋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仿宋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CWlnYU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VtKNFPY0enH99PPh9OvbwQ6ANRaP4PfxsIzdO9MB+dB76GMc3eV&#10;U/HGRAR2QH28wCu6QHgMmk6m0xwmDtvwQP7sMdw6H94Lo0gUCuqwvwQrO6x96F0Hl1hNm1UjZdqh&#10;1KQt6NXrN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gJaWd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0F8E27"/>
    <w:multiLevelType w:val="singleLevel"/>
    <w:tmpl w:val="AE0F8E2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1723DF0"/>
    <w:multiLevelType w:val="singleLevel"/>
    <w:tmpl w:val="D1723DF0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0165A"/>
    <w:rsid w:val="035E4037"/>
    <w:rsid w:val="049D485F"/>
    <w:rsid w:val="08FA50B2"/>
    <w:rsid w:val="133531AF"/>
    <w:rsid w:val="13D24270"/>
    <w:rsid w:val="19034F5C"/>
    <w:rsid w:val="3C5B6957"/>
    <w:rsid w:val="4109204D"/>
    <w:rsid w:val="482C74B5"/>
    <w:rsid w:val="48857F1F"/>
    <w:rsid w:val="4C7E7810"/>
    <w:rsid w:val="55105558"/>
    <w:rsid w:val="5F016167"/>
    <w:rsid w:val="60A72A2F"/>
    <w:rsid w:val="63B54250"/>
    <w:rsid w:val="6BC0165A"/>
    <w:rsid w:val="6E482148"/>
    <w:rsid w:val="733A12BA"/>
    <w:rsid w:val="773F115E"/>
    <w:rsid w:val="7AF4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footnote reference"/>
    <w:basedOn w:val="10"/>
    <w:qFormat/>
    <w:uiPriority w:val="0"/>
    <w:rPr>
      <w:vertAlign w:val="superscript"/>
    </w:rPr>
  </w:style>
  <w:style w:type="paragraph" w:customStyle="1" w:styleId="13">
    <w:name w:val="WPSOffice手动目录 1"/>
    <w:link w:val="15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link w:val="16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5">
    <w:name w:val="WPSOffice手动目录 1 Char"/>
    <w:link w:val="13"/>
    <w:qFormat/>
    <w:uiPriority w:val="0"/>
    <w:rPr>
      <w:sz w:val="20"/>
      <w:szCs w:val="20"/>
    </w:rPr>
  </w:style>
  <w:style w:type="character" w:customStyle="1" w:styleId="16">
    <w:name w:val="WPSOffice手动目录 2 Char"/>
    <w:link w:val="14"/>
    <w:qFormat/>
    <w:uiPriority w:val="0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2020-03-16T01:57:00Z</dcterms:created>
  <dc:creator>Administrator</dc:creator>
  <cp:lastModifiedBy>X</cp:lastModifiedBy>
  <dcterms:modified xsi:type="dcterms:W3CDTF">2020-07-29T01:41:41Z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